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12" w:lineRule="auto"/>
        <w:jc w:val="center"/>
        <w:rPr>
          <w:rFonts w:cs="Nazanin"/>
          <w:b/>
          <w:bCs/>
          <w:sz w:val="28"/>
          <w:szCs w:val="28"/>
          <w:rtl/>
          <w:lang w:bidi="fa-IR"/>
        </w:rPr>
      </w:pPr>
      <w:bookmarkStart w:id="0" w:name="_GoBack"/>
      <w:r>
        <w:rPr>
          <w:rFonts w:cs="Nazanin" w:hint="cs"/>
          <w:b/>
          <w:bCs/>
          <w:sz w:val="28"/>
          <w:szCs w:val="28"/>
          <w:rtl/>
          <w:lang w:bidi="fa-IR"/>
        </w:rPr>
        <w:t>آزمايشگاه بيوشيمي (2) متابوليسم</w:t>
      </w:r>
    </w:p>
    <w:bookmarkEnd w:id="0"/>
    <w:p>
      <w:pPr>
        <w:spacing w:line="312" w:lineRule="auto"/>
        <w:jc w:val="center"/>
        <w:rPr>
          <w:rFonts w:cs="Nazanin"/>
          <w:b/>
          <w:bCs/>
          <w:sz w:val="28"/>
          <w:szCs w:val="28"/>
          <w:rtl/>
          <w:lang w:bidi="fa-IR"/>
        </w:rPr>
      </w:pPr>
      <w:r>
        <w:rPr>
          <w:rFonts w:cs="Nazanin" w:hint="cs"/>
          <w:b/>
          <w:bCs/>
          <w:sz w:val="28"/>
          <w:szCs w:val="28"/>
          <w:rtl/>
          <w:lang w:bidi="fa-IR"/>
        </w:rPr>
        <w:t>درس، دكتر سيد رفيع عارف حسينیی:</w:t>
      </w:r>
    </w:p>
    <w:p>
      <w:pPr>
        <w:spacing w:line="312" w:lineRule="auto"/>
        <w:jc w:val="center"/>
        <w:rPr>
          <w:rFonts w:cs="Nazanin"/>
          <w:b/>
          <w:bCs/>
          <w:sz w:val="28"/>
          <w:szCs w:val="28"/>
          <w:rtl/>
          <w:lang w:bidi="fa-IR"/>
        </w:rPr>
      </w:pPr>
    </w:p>
    <w:p>
      <w:pPr>
        <w:spacing w:line="312" w:lineRule="auto"/>
        <w:rPr>
          <w:rFonts w:cs="Nazanin"/>
          <w:b/>
          <w:bCs/>
          <w:sz w:val="28"/>
          <w:szCs w:val="28"/>
          <w:rtl/>
          <w:lang w:bidi="fa-IR"/>
        </w:rPr>
      </w:pPr>
      <w:r>
        <w:rPr>
          <w:rFonts w:cs="Nazanin" w:hint="cs"/>
          <w:b/>
          <w:bCs/>
          <w:sz w:val="28"/>
          <w:szCs w:val="28"/>
          <w:rtl/>
          <w:lang w:bidi="fa-IR"/>
        </w:rPr>
        <w:t>پيشگفتار،</w:t>
      </w:r>
    </w:p>
    <w:p>
      <w:pPr>
        <w:spacing w:line="360" w:lineRule="auto"/>
        <w:rPr>
          <w:rFonts w:cs="Nazanin"/>
          <w:b/>
          <w:bCs/>
          <w:sz w:val="28"/>
          <w:szCs w:val="28"/>
          <w:rtl/>
          <w:lang w:bidi="fa-IR"/>
        </w:rPr>
      </w:pPr>
      <w:r>
        <w:rPr>
          <w:rFonts w:cs="Nazanin" w:hint="cs"/>
          <w:b/>
          <w:bCs/>
          <w:sz w:val="28"/>
          <w:szCs w:val="28"/>
          <w:rtl/>
          <w:lang w:bidi="fa-IR"/>
        </w:rPr>
        <w:t xml:space="preserve">بيوشيمي متا بويسم مقوله ائي است سترگ كه با اندركنش ساختار زنده وتعا مل اجزاي سا زند ه با خود، كا ركردش با ساختار هاي زند ه و غير زنده  ديگر،  هنجا رها و ناهنجا ريها، از  طيف بسيا ر وسيع رفتا رهاي گونا گون برخوردار است.اين مجموعه  بر بكا ر گرفتن برخي از روشها ئي كه دا نشجويا ن در آزما يشگا ه بيوشيمي  بد ان نيا ز د ا رند مي نگرد و در مراحل آزما يشگا ه جهت حصول نتا يج قا بل استناد تحقيقي نيز مي تواند مورد استفا ده با شد.  </w:t>
      </w:r>
    </w:p>
    <w:p>
      <w:pPr>
        <w:spacing w:line="312" w:lineRule="auto"/>
        <w:jc w:val="center"/>
        <w:rPr>
          <w:rFonts w:cs="Nazanin"/>
          <w:b/>
          <w:bCs/>
          <w:sz w:val="28"/>
          <w:szCs w:val="28"/>
          <w:rtl/>
          <w:lang w:bidi="fa-IR"/>
        </w:rPr>
      </w:pPr>
    </w:p>
    <w:p>
      <w:pPr>
        <w:rPr>
          <w:rFonts w:cs="Nazanin"/>
          <w:b/>
          <w:bCs/>
          <w:sz w:val="28"/>
          <w:szCs w:val="28"/>
          <w:rtl/>
          <w:lang w:bidi="fa-IR"/>
        </w:rPr>
      </w:pPr>
      <w:r>
        <w:rPr>
          <w:rFonts w:cs="Nazanin" w:hint="cs"/>
          <w:b/>
          <w:bCs/>
          <w:sz w:val="28"/>
          <w:szCs w:val="28"/>
          <w:rtl/>
          <w:lang w:bidi="fa-IR"/>
        </w:rPr>
        <w:t>آزمایشگاه بیوشیمی متابولیسم انعکاس دهنده تعیین کمی مقادیر بافتی متابولیت های معرفی شده در قالب دروس بیوشسمی متابولیسم متابولیسم است که به توسط دستگاه اسپکتروفتومتر و برخی از موارد استفاده از تکنیک محاسبات و کار با منحنی های کالیبراسیون و محاسبات عددی صورت می پذیرد. کلیه مقادیر تعیین شده به معلوم بودن مقدار عددی که حاصل از سرم کنترل های راندوکس می باشد با ضریب خطای پنج درصد خطا صدرد نمره مربوط به هر پارامتر در نظر گرفته شده و مقادیر متفاوت، درصد خطا از نمره نهایی محسوب می شود، نحوهء کار دانشجویان مقطع کارشناسی و نحوه ارزشیابی آنان:</w:t>
      </w:r>
    </w:p>
    <w:p>
      <w:pPr>
        <w:rPr>
          <w:rFonts w:cs="Nazanin"/>
          <w:b/>
          <w:bCs/>
          <w:sz w:val="28"/>
          <w:szCs w:val="28"/>
          <w:rtl/>
          <w:lang w:bidi="fa-IR"/>
        </w:rPr>
      </w:pPr>
    </w:p>
    <w:p>
      <w:pPr>
        <w:rPr>
          <w:rFonts w:cs="Nazanin"/>
          <w:b/>
          <w:bCs/>
          <w:sz w:val="28"/>
          <w:szCs w:val="28"/>
          <w:rtl/>
          <w:lang w:bidi="fa-IR"/>
        </w:rPr>
      </w:pPr>
      <w:r>
        <w:rPr>
          <w:rFonts w:cs="Nazanin" w:hint="cs"/>
          <w:b/>
          <w:bCs/>
          <w:sz w:val="28"/>
          <w:szCs w:val="28"/>
          <w:rtl/>
          <w:lang w:bidi="fa-IR"/>
        </w:rPr>
        <w:t>بخش اول آشنایی با اصول اسپکتروتری در نور مرئی و ماورائ بنفش،</w:t>
      </w:r>
    </w:p>
    <w:p>
      <w:pPr>
        <w:rPr>
          <w:rFonts w:cs="Nazanin"/>
          <w:b/>
          <w:bCs/>
          <w:sz w:val="28"/>
          <w:szCs w:val="28"/>
          <w:rtl/>
          <w:lang w:bidi="fa-IR"/>
        </w:rPr>
      </w:pPr>
      <w:r>
        <w:rPr>
          <w:rFonts w:cs="Nazanin" w:hint="cs"/>
          <w:b/>
          <w:bCs/>
          <w:sz w:val="28"/>
          <w:szCs w:val="28"/>
          <w:rtl/>
          <w:lang w:bidi="fa-IR"/>
        </w:rPr>
        <w:t>بخش دوم آزمایشات برخی از متابولیت ها بر مبنای محاسبات،</w:t>
      </w:r>
    </w:p>
    <w:p>
      <w:pPr>
        <w:rPr>
          <w:rFonts w:cs="Nazanin"/>
          <w:b/>
          <w:bCs/>
          <w:sz w:val="28"/>
          <w:szCs w:val="28"/>
          <w:rtl/>
          <w:lang w:bidi="fa-IR"/>
        </w:rPr>
      </w:pPr>
      <w:r>
        <w:rPr>
          <w:rFonts w:cs="Nazanin" w:hint="cs"/>
          <w:b/>
          <w:bCs/>
          <w:sz w:val="28"/>
          <w:szCs w:val="28"/>
          <w:rtl/>
          <w:lang w:bidi="fa-IR"/>
        </w:rPr>
        <w:t>بخش سوم اساس آزمایشات و شکل گیری مبانی محاسبات است،</w:t>
      </w:r>
    </w:p>
    <w:p>
      <w:pPr>
        <w:rPr>
          <w:rFonts w:cs="Nazanin"/>
          <w:b/>
          <w:bCs/>
          <w:sz w:val="28"/>
          <w:szCs w:val="28"/>
          <w:rtl/>
          <w:lang w:bidi="fa-IR"/>
        </w:rPr>
      </w:pPr>
      <w:r>
        <w:rPr>
          <w:rFonts w:cs="Nazanin" w:hint="cs"/>
          <w:b/>
          <w:bCs/>
          <w:sz w:val="28"/>
          <w:szCs w:val="28"/>
          <w:rtl/>
          <w:lang w:bidi="fa-IR"/>
        </w:rPr>
        <w:t>بخش چهارم تفسیر نتایج آزمایشات و نگرش بالینی اندازه گیری هاست.</w:t>
      </w:r>
    </w:p>
    <w:p>
      <w:pPr>
        <w:rPr>
          <w:rFonts w:cs="Nazanin"/>
          <w:b/>
          <w:bCs/>
          <w:sz w:val="28"/>
          <w:szCs w:val="28"/>
          <w:rtl/>
          <w:lang w:bidi="fa-IR"/>
        </w:rPr>
      </w:pPr>
    </w:p>
    <w:p>
      <w:pPr>
        <w:rPr>
          <w:rFonts w:cs="Nazanin"/>
          <w:b/>
          <w:bCs/>
          <w:sz w:val="28"/>
          <w:szCs w:val="28"/>
          <w:lang w:bidi="fa-IR"/>
        </w:rPr>
      </w:pPr>
    </w:p>
    <w:p>
      <w:pPr>
        <w:rPr>
          <w:rFonts w:cs="Nazanin"/>
          <w:b/>
          <w:bCs/>
          <w:sz w:val="28"/>
          <w:szCs w:val="28"/>
          <w:rtl/>
          <w:lang w:bidi="fa-IR"/>
        </w:rPr>
      </w:pPr>
    </w:p>
    <w:p>
      <w:pPr>
        <w:spacing w:line="312" w:lineRule="auto"/>
        <w:rPr>
          <w:rFonts w:cs="Nazanin"/>
          <w:b/>
          <w:bCs/>
          <w:sz w:val="28"/>
          <w:szCs w:val="28"/>
          <w:rtl/>
          <w:lang w:bidi="fa-IR"/>
        </w:rPr>
      </w:pPr>
      <w:r>
        <w:rPr>
          <w:rFonts w:cs="Nazanin"/>
          <w:b/>
          <w:bCs/>
          <w:sz w:val="28"/>
          <w:szCs w:val="28"/>
          <w:rtl/>
          <w:lang w:bidi="fa-IR"/>
        </w:rPr>
        <w:lastRenderedPageBreak/>
        <w:t>اصول جذب نوری</w:t>
      </w:r>
    </w:p>
    <w:p>
      <w:pPr>
        <w:spacing w:line="312" w:lineRule="auto"/>
        <w:jc w:val="lowKashida"/>
        <w:rPr>
          <w:rFonts w:cs="Nazanin"/>
          <w:b/>
          <w:bCs/>
          <w:sz w:val="28"/>
          <w:szCs w:val="28"/>
          <w:rtl/>
          <w:lang w:bidi="fa-IR"/>
        </w:rPr>
      </w:pPr>
      <w:r>
        <w:rPr>
          <w:rFonts w:cs="Nazanin"/>
          <w:b/>
          <w:bCs/>
          <w:sz w:val="28"/>
          <w:szCs w:val="28"/>
          <w:rtl/>
          <w:lang w:bidi="fa-IR"/>
        </w:rPr>
        <w:t xml:space="preserve">الف- از طريق جذب یا </w:t>
      </w:r>
      <w:r>
        <w:rPr>
          <w:rFonts w:cs="Nazanin"/>
          <w:b/>
          <w:bCs/>
          <w:sz w:val="28"/>
          <w:szCs w:val="28"/>
          <w:lang w:bidi="fa-IR"/>
        </w:rPr>
        <w:t>Absorbanc</w:t>
      </w:r>
    </w:p>
    <w:p>
      <w:pPr>
        <w:spacing w:line="312" w:lineRule="auto"/>
        <w:jc w:val="lowKashida"/>
        <w:rPr>
          <w:rFonts w:cs="Nazanin"/>
          <w:b/>
          <w:bCs/>
          <w:sz w:val="28"/>
          <w:szCs w:val="28"/>
          <w:rtl/>
          <w:lang w:bidi="fa-IR"/>
        </w:rPr>
      </w:pPr>
      <w:r>
        <w:rPr>
          <w:rFonts w:cs="Nazanin"/>
          <w:b/>
          <w:bCs/>
          <w:sz w:val="28"/>
          <w:szCs w:val="28"/>
          <w:rtl/>
          <w:lang w:bidi="fa-IR"/>
        </w:rPr>
        <w:t xml:space="preserve">ب- ازطريق خروج </w:t>
      </w:r>
      <w:r>
        <w:rPr>
          <w:rFonts w:cs="Nazanin"/>
          <w:b/>
          <w:bCs/>
          <w:sz w:val="28"/>
          <w:szCs w:val="28"/>
          <w:lang w:bidi="fa-IR"/>
        </w:rPr>
        <w:t>Transmittance</w:t>
      </w:r>
    </w:p>
    <w:p>
      <w:pPr>
        <w:spacing w:line="312" w:lineRule="auto"/>
        <w:rPr>
          <w:rFonts w:cs="Nazanin"/>
          <w:b/>
          <w:bCs/>
          <w:sz w:val="28"/>
          <w:szCs w:val="28"/>
          <w:rtl/>
          <w:lang w:bidi="fa-IR"/>
        </w:rPr>
      </w:pPr>
      <w:r>
        <w:rPr>
          <w:rFonts w:cs="Nazanin" w:hint="cs"/>
          <w:b/>
          <w:bCs/>
          <w:sz w:val="28"/>
          <w:szCs w:val="28"/>
          <w:rtl/>
          <w:lang w:bidi="fa-IR"/>
        </w:rPr>
        <w:t>اسپکتروفتومتر</w:t>
      </w:r>
    </w:p>
    <w:p>
      <w:pPr>
        <w:spacing w:line="312" w:lineRule="auto"/>
        <w:jc w:val="lowKashida"/>
        <w:rPr>
          <w:rFonts w:cs="Nazanin"/>
          <w:b/>
          <w:bCs/>
          <w:sz w:val="28"/>
          <w:szCs w:val="28"/>
          <w:rtl/>
          <w:lang w:bidi="fa-IR"/>
        </w:rPr>
      </w:pPr>
      <w:r>
        <w:rPr>
          <w:rFonts w:cs="Nazanin" w:hint="cs"/>
          <w:b/>
          <w:bCs/>
          <w:sz w:val="28"/>
          <w:szCs w:val="28"/>
          <w:rtl/>
          <w:lang w:bidi="fa-IR"/>
        </w:rPr>
        <w:t>- آشنايي با اسپكتروفتومتر و طيف‌سنجي</w:t>
      </w:r>
    </w:p>
    <w:p>
      <w:pPr>
        <w:spacing w:line="312" w:lineRule="auto"/>
        <w:jc w:val="lowKashida"/>
        <w:rPr>
          <w:rFonts w:cs="Nazanin"/>
          <w:b/>
          <w:bCs/>
          <w:sz w:val="28"/>
          <w:szCs w:val="28"/>
          <w:rtl/>
          <w:lang w:bidi="fa-IR"/>
        </w:rPr>
      </w:pPr>
    </w:p>
    <w:p>
      <w:pPr>
        <w:spacing w:line="312" w:lineRule="auto"/>
        <w:jc w:val="lowKashida"/>
        <w:rPr>
          <w:rFonts w:cs="Nazanin"/>
          <w:b/>
          <w:bCs/>
          <w:sz w:val="28"/>
          <w:szCs w:val="28"/>
          <w:rtl/>
          <w:lang w:bidi="fa-IR"/>
        </w:rPr>
      </w:pPr>
      <w:r>
        <w:rPr>
          <w:rFonts w:cs="Nazanin" w:hint="cs"/>
          <w:b/>
          <w:bCs/>
          <w:sz w:val="28"/>
          <w:szCs w:val="28"/>
          <w:rtl/>
          <w:lang w:bidi="fa-IR"/>
        </w:rPr>
        <w:t>- انتخاب بهترين طول موج براي اندازه‌گيري غلظت يك محلول رنگي (برموفنل بلو)</w:t>
      </w:r>
    </w:p>
    <w:p>
      <w:pPr>
        <w:spacing w:line="312" w:lineRule="auto"/>
        <w:jc w:val="lowKashida"/>
        <w:rPr>
          <w:rFonts w:cs="Nazanin"/>
          <w:b/>
          <w:bCs/>
          <w:sz w:val="28"/>
          <w:szCs w:val="28"/>
          <w:lang w:bidi="fa-IR"/>
        </w:rPr>
      </w:pPr>
    </w:p>
    <w:p>
      <w:pPr>
        <w:spacing w:line="312" w:lineRule="auto"/>
        <w:jc w:val="lowKashida"/>
        <w:rPr>
          <w:rFonts w:cs="Nazanin"/>
          <w:b/>
          <w:bCs/>
          <w:sz w:val="28"/>
          <w:szCs w:val="28"/>
          <w:rtl/>
          <w:lang w:bidi="fa-IR"/>
        </w:rPr>
      </w:pPr>
      <w:r>
        <w:rPr>
          <w:rFonts w:cs="Nazanin" w:hint="cs"/>
          <w:b/>
          <w:bCs/>
          <w:sz w:val="28"/>
          <w:szCs w:val="28"/>
          <w:rtl/>
          <w:lang w:bidi="fa-IR"/>
        </w:rPr>
        <w:t>- نمايش قانون بير- لامبرت و آشنايي با اين قانون</w:t>
      </w:r>
    </w:p>
    <w:p>
      <w:pPr>
        <w:spacing w:line="312" w:lineRule="auto"/>
        <w:jc w:val="lowKashida"/>
        <w:rPr>
          <w:rFonts w:cs="Nazanin"/>
          <w:b/>
          <w:bCs/>
          <w:sz w:val="28"/>
          <w:szCs w:val="28"/>
          <w:rtl/>
          <w:lang w:bidi="fa-IR"/>
        </w:rPr>
      </w:pPr>
      <w:r>
        <w:rPr>
          <w:rFonts w:cs="Nazanin" w:hint="cs"/>
          <w:b/>
          <w:bCs/>
          <w:sz w:val="28"/>
          <w:szCs w:val="28"/>
          <w:rtl/>
          <w:lang w:bidi="fa-IR"/>
        </w:rPr>
        <w:t>- رسم منحني كاليبراسيون</w:t>
      </w:r>
    </w:p>
    <w:p>
      <w:pPr>
        <w:spacing w:line="312" w:lineRule="auto"/>
        <w:jc w:val="lowKashida"/>
        <w:rPr>
          <w:rFonts w:cs="Nazanin"/>
          <w:b/>
          <w:bCs/>
          <w:sz w:val="28"/>
          <w:szCs w:val="28"/>
          <w:rtl/>
          <w:lang w:bidi="fa-IR"/>
        </w:rPr>
      </w:pPr>
    </w:p>
    <w:p>
      <w:pPr>
        <w:spacing w:line="312" w:lineRule="auto"/>
        <w:jc w:val="lowKashida"/>
        <w:rPr>
          <w:rFonts w:cs="Nazanin"/>
          <w:b/>
          <w:bCs/>
          <w:sz w:val="28"/>
          <w:szCs w:val="28"/>
          <w:rtl/>
          <w:lang w:bidi="fa-IR"/>
        </w:rPr>
      </w:pPr>
      <w:r>
        <w:rPr>
          <w:rFonts w:cs="Nazanin" w:hint="cs"/>
          <w:b/>
          <w:bCs/>
          <w:sz w:val="28"/>
          <w:szCs w:val="28"/>
          <w:rtl/>
          <w:lang w:bidi="fa-IR"/>
        </w:rPr>
        <w:t>- استفاده براي محاسبه غلظت محلول نامعلوم</w:t>
      </w:r>
    </w:p>
    <w:p>
      <w:pPr>
        <w:spacing w:line="312" w:lineRule="auto"/>
        <w:jc w:val="lowKashida"/>
        <w:rPr>
          <w:rFonts w:cs="Nazanin"/>
          <w:b/>
          <w:bCs/>
          <w:sz w:val="28"/>
          <w:szCs w:val="28"/>
          <w:rtl/>
          <w:lang w:bidi="fa-IR"/>
        </w:rPr>
      </w:pPr>
    </w:p>
    <w:p>
      <w:pPr>
        <w:spacing w:line="312" w:lineRule="auto"/>
        <w:jc w:val="lowKashida"/>
        <w:rPr>
          <w:rFonts w:cs="Nazanin"/>
          <w:b/>
          <w:bCs/>
          <w:sz w:val="28"/>
          <w:szCs w:val="28"/>
          <w:rtl/>
          <w:lang w:bidi="fa-IR"/>
        </w:rPr>
      </w:pPr>
      <w:r>
        <w:rPr>
          <w:rFonts w:cs="Nazanin" w:hint="cs"/>
          <w:b/>
          <w:bCs/>
          <w:sz w:val="28"/>
          <w:szCs w:val="28"/>
          <w:rtl/>
          <w:lang w:bidi="fa-IR"/>
        </w:rPr>
        <w:t>آزمايشي براي قانون بير- لامبرت</w:t>
      </w:r>
    </w:p>
    <w:p>
      <w:pPr>
        <w:spacing w:line="312" w:lineRule="auto"/>
        <w:jc w:val="lowKashida"/>
        <w:rPr>
          <w:rFonts w:cs="Nazanin"/>
          <w:b/>
          <w:bCs/>
          <w:sz w:val="28"/>
          <w:szCs w:val="28"/>
          <w:rtl/>
          <w:lang w:bidi="fa-IR"/>
        </w:rPr>
      </w:pPr>
    </w:p>
    <w:p>
      <w:pPr>
        <w:spacing w:line="312" w:lineRule="auto"/>
        <w:jc w:val="lowKashida"/>
        <w:rPr>
          <w:rFonts w:cs="Nazanin"/>
          <w:b/>
          <w:bCs/>
          <w:sz w:val="28"/>
          <w:szCs w:val="28"/>
          <w:rtl/>
          <w:lang w:bidi="fa-IR"/>
        </w:rPr>
      </w:pPr>
      <w:r>
        <w:rPr>
          <w:rFonts w:cs="Nazanin" w:hint="cs"/>
          <w:b/>
          <w:bCs/>
          <w:sz w:val="28"/>
          <w:szCs w:val="28"/>
          <w:rtl/>
          <w:lang w:bidi="fa-IR"/>
        </w:rPr>
        <w:t>آزمايش تعئين شيب منحني كاليبراسيون يك تركيب رنگي:</w:t>
      </w:r>
    </w:p>
    <w:p>
      <w:pPr>
        <w:spacing w:line="312" w:lineRule="auto"/>
        <w:jc w:val="lowKashida"/>
        <w:rPr>
          <w:rFonts w:cs="Nazanin"/>
          <w:b/>
          <w:bCs/>
          <w:sz w:val="28"/>
          <w:szCs w:val="28"/>
          <w:lang w:bidi="fa-IR"/>
        </w:rPr>
      </w:pPr>
    </w:p>
    <w:p>
      <w:pPr>
        <w:spacing w:line="360" w:lineRule="auto"/>
        <w:rPr>
          <w:b/>
          <w:bCs/>
          <w:sz w:val="28"/>
          <w:szCs w:val="28"/>
          <w:rtl/>
          <w:lang w:bidi="fa-IR"/>
        </w:rPr>
      </w:pPr>
      <w:r>
        <w:rPr>
          <w:rFonts w:hint="cs"/>
          <w:b/>
          <w:bCs/>
          <w:sz w:val="28"/>
          <w:szCs w:val="28"/>
          <w:rtl/>
          <w:lang w:bidi="fa-IR"/>
        </w:rPr>
        <w:t>تعیین منحنی کالیبراسیون و معادله خط آن</w:t>
      </w:r>
    </w:p>
    <w:p>
      <w:pPr>
        <w:bidi w:val="0"/>
        <w:spacing w:line="360" w:lineRule="auto"/>
        <w:jc w:val="right"/>
        <w:rPr>
          <w:b/>
          <w:bCs/>
          <w:sz w:val="28"/>
          <w:szCs w:val="28"/>
          <w:lang w:bidi="fa-IR"/>
        </w:rPr>
      </w:pPr>
      <w:r>
        <w:rPr>
          <w:rFonts w:hint="cs"/>
          <w:b/>
          <w:bCs/>
          <w:sz w:val="28"/>
          <w:szCs w:val="28"/>
          <w:rtl/>
          <w:lang w:bidi="fa-IR"/>
        </w:rPr>
        <w:t>و استفاده از آن برای ارزیابی کیفیت کار آزمایشگاهی</w:t>
      </w:r>
      <w:r>
        <w:rPr>
          <w:b/>
          <w:bCs/>
          <w:sz w:val="28"/>
          <w:szCs w:val="28"/>
          <w:lang w:bidi="fa-IR"/>
        </w:rPr>
        <w:t>R squear</w:t>
      </w:r>
      <w:r>
        <w:rPr>
          <w:rFonts w:hint="cs"/>
          <w:b/>
          <w:bCs/>
          <w:sz w:val="28"/>
          <w:szCs w:val="28"/>
          <w:rtl/>
          <w:lang w:bidi="fa-IR"/>
        </w:rPr>
        <w:t xml:space="preserve"> معرفی   </w:t>
      </w:r>
    </w:p>
    <w:p>
      <w:pPr>
        <w:bidi w:val="0"/>
        <w:spacing w:line="360" w:lineRule="auto"/>
        <w:jc w:val="right"/>
        <w:rPr>
          <w:b/>
          <w:bCs/>
          <w:sz w:val="28"/>
          <w:szCs w:val="28"/>
          <w:rtl/>
          <w:lang w:bidi="fa-IR"/>
        </w:rPr>
      </w:pPr>
      <w:r>
        <w:rPr>
          <w:b/>
          <w:bCs/>
          <w:sz w:val="28"/>
          <w:szCs w:val="28"/>
          <w:lang w:bidi="fa-IR"/>
        </w:rPr>
        <w:t>Fridelwald</w:t>
      </w:r>
      <w:r>
        <w:rPr>
          <w:rFonts w:hint="cs"/>
          <w:b/>
          <w:bCs/>
          <w:sz w:val="28"/>
          <w:szCs w:val="28"/>
          <w:rtl/>
          <w:lang w:bidi="fa-IR"/>
        </w:rPr>
        <w:t>با استفاده از رابطه ّ</w:t>
      </w:r>
      <w:r>
        <w:rPr>
          <w:b/>
          <w:bCs/>
          <w:sz w:val="28"/>
          <w:szCs w:val="28"/>
          <w:lang w:bidi="fa-IR"/>
        </w:rPr>
        <w:t>LDL-C</w:t>
      </w:r>
      <w:r>
        <w:rPr>
          <w:rFonts w:hint="cs"/>
          <w:b/>
          <w:bCs/>
          <w:sz w:val="28"/>
          <w:szCs w:val="28"/>
          <w:rtl/>
          <w:lang w:bidi="fa-IR"/>
        </w:rPr>
        <w:t xml:space="preserve">تعیین غلظت </w:t>
      </w:r>
    </w:p>
    <w:p>
      <w:pPr>
        <w:bidi w:val="0"/>
        <w:spacing w:line="360" w:lineRule="auto"/>
        <w:jc w:val="right"/>
        <w:rPr>
          <w:b/>
          <w:bCs/>
          <w:sz w:val="28"/>
          <w:szCs w:val="28"/>
          <w:rtl/>
          <w:lang w:bidi="fa-IR"/>
        </w:rPr>
      </w:pPr>
      <w:r>
        <w:rPr>
          <w:rFonts w:hint="cs"/>
          <w:b/>
          <w:bCs/>
          <w:sz w:val="28"/>
          <w:szCs w:val="28"/>
          <w:rtl/>
          <w:lang w:bidi="fa-IR"/>
        </w:rPr>
        <w:t xml:space="preserve">های پر خطر در نفوذ به عروق کرونر قلب و ایجاد آتروم </w:t>
      </w:r>
      <w:r>
        <w:rPr>
          <w:b/>
          <w:bCs/>
          <w:sz w:val="28"/>
          <w:szCs w:val="28"/>
          <w:lang w:bidi="fa-IR"/>
        </w:rPr>
        <w:t>Small dense LDL-c</w:t>
      </w:r>
      <w:r>
        <w:rPr>
          <w:rFonts w:hint="cs"/>
          <w:b/>
          <w:bCs/>
          <w:sz w:val="28"/>
          <w:szCs w:val="28"/>
          <w:rtl/>
          <w:lang w:bidi="fa-IR"/>
        </w:rPr>
        <w:t>تعیین میزان</w:t>
      </w:r>
    </w:p>
    <w:p>
      <w:pPr>
        <w:spacing w:line="312" w:lineRule="auto"/>
        <w:jc w:val="lowKashida"/>
        <w:rPr>
          <w:rFonts w:cs="Nazanin"/>
          <w:sz w:val="28"/>
          <w:szCs w:val="28"/>
          <w:rtl/>
          <w:lang w:bidi="fa-IR"/>
        </w:rPr>
      </w:pPr>
      <w:r>
        <w:rPr>
          <w:rFonts w:cs="Nazanin" w:hint="cs"/>
          <w:b/>
          <w:bCs/>
          <w:sz w:val="28"/>
          <w:szCs w:val="28"/>
          <w:rtl/>
          <w:lang w:bidi="fa-IR"/>
        </w:rPr>
        <w:t xml:space="preserve">مواد مورد نياز: </w:t>
      </w:r>
      <w:r>
        <w:rPr>
          <w:rFonts w:cs="Nazanin" w:hint="cs"/>
          <w:sz w:val="28"/>
          <w:szCs w:val="28"/>
          <w:rtl/>
          <w:lang w:bidi="fa-IR"/>
        </w:rPr>
        <w:t xml:space="preserve">محلول </w:t>
      </w:r>
      <w:r>
        <w:rPr>
          <w:rFonts w:cs="Nazanin"/>
          <w:sz w:val="28"/>
          <w:szCs w:val="28"/>
          <w:lang w:bidi="fa-IR"/>
        </w:rPr>
        <w:t>BBP</w:t>
      </w:r>
      <w:r>
        <w:rPr>
          <w:rFonts w:cs="Nazanin" w:hint="cs"/>
          <w:sz w:val="28"/>
          <w:szCs w:val="28"/>
          <w:rtl/>
          <w:lang w:bidi="fa-IR"/>
        </w:rPr>
        <w:t xml:space="preserve"> به غلظت </w:t>
      </w:r>
      <w:r>
        <w:rPr>
          <w:rFonts w:cs="Nazanin"/>
          <w:sz w:val="28"/>
          <w:szCs w:val="28"/>
          <w:lang w:bidi="fa-IR"/>
        </w:rPr>
        <w:t>10mg/L</w:t>
      </w:r>
      <w:r>
        <w:rPr>
          <w:rFonts w:cs="Nazanin" w:hint="cs"/>
          <w:sz w:val="28"/>
          <w:szCs w:val="28"/>
          <w:rtl/>
          <w:lang w:bidi="fa-IR"/>
        </w:rPr>
        <w:t xml:space="preserve"> كه با استفاده از آن 5 نقطه در غلظت‌هاي 1، 2، 4، 6 و 8 </w:t>
      </w:r>
      <w:r>
        <w:rPr>
          <w:rFonts w:cs="Nazanin"/>
          <w:sz w:val="28"/>
          <w:szCs w:val="28"/>
          <w:lang w:bidi="fa-IR"/>
        </w:rPr>
        <w:t>mg/L</w:t>
      </w:r>
      <w:r>
        <w:rPr>
          <w:rFonts w:cs="Nazanin" w:hint="cs"/>
          <w:sz w:val="28"/>
          <w:szCs w:val="28"/>
          <w:rtl/>
          <w:lang w:bidi="fa-IR"/>
        </w:rPr>
        <w:t xml:space="preserve"> در آب مقطر تهيه نمود و مانند جدول فوق به تحقيق برابر بودن </w:t>
      </w:r>
      <w:r>
        <w:rPr>
          <w:rFonts w:cs="Nazanin"/>
          <w:sz w:val="28"/>
          <w:szCs w:val="28"/>
          <w:lang w:bidi="fa-IR"/>
        </w:rPr>
        <w:t>K</w:t>
      </w:r>
      <w:r>
        <w:rPr>
          <w:rFonts w:cs="Nazanin" w:hint="cs"/>
          <w:sz w:val="28"/>
          <w:szCs w:val="28"/>
          <w:rtl/>
          <w:lang w:bidi="fa-IR"/>
        </w:rPr>
        <w:t xml:space="preserve"> در غلظت‌هاي گوناگون بپردازيد. براي رسم ومنحني كاليبراسيون از كاغذ ميلي‌متري استفاده كنيد.</w:t>
      </w:r>
    </w:p>
    <w:p>
      <w:pPr>
        <w:spacing w:line="312" w:lineRule="auto"/>
        <w:jc w:val="right"/>
        <w:rPr>
          <w:rFonts w:cs="Nazanin"/>
          <w:sz w:val="28"/>
          <w:szCs w:val="28"/>
          <w:rtl/>
          <w:lang w:bidi="fa-IR"/>
        </w:rPr>
      </w:pPr>
    </w:p>
    <w:p>
      <w:pPr>
        <w:spacing w:line="312" w:lineRule="auto"/>
        <w:jc w:val="lowKashida"/>
        <w:rPr>
          <w:rFonts w:cs="Nazanin"/>
          <w:b/>
          <w:bCs/>
          <w:sz w:val="28"/>
          <w:szCs w:val="28"/>
          <w:rtl/>
          <w:lang w:bidi="fa-IR"/>
        </w:rPr>
      </w:pPr>
      <w:r>
        <w:rPr>
          <w:rFonts w:cs="Nazanin" w:hint="cs"/>
          <w:b/>
          <w:bCs/>
          <w:sz w:val="28"/>
          <w:szCs w:val="28"/>
          <w:rtl/>
          <w:lang w:bidi="fa-IR"/>
        </w:rPr>
        <w:t xml:space="preserve">سانتريفوژهاي كلينيكي و اصل بنيادي حاكم  </w:t>
      </w:r>
      <w:r>
        <w:rPr>
          <w:rFonts w:cs="Nazanin"/>
          <w:b/>
          <w:bCs/>
          <w:position w:val="-26"/>
          <w:sz w:val="28"/>
          <w:szCs w:val="28"/>
          <w:lang w:bidi="fa-IR"/>
        </w:rPr>
        <w:object w:dxaOrig="12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35.25pt" o:ole="">
            <v:imagedata r:id="rId8" o:title=""/>
          </v:shape>
          <o:OLEObject Type="Embed" ProgID="Equation.3" ShapeID="_x0000_i1025" DrawAspect="Content" ObjectID="_1589527127" r:id="rId9"/>
        </w:object>
      </w:r>
    </w:p>
    <w:p>
      <w:pPr>
        <w:spacing w:line="288" w:lineRule="auto"/>
        <w:jc w:val="lowKashida"/>
        <w:rPr>
          <w:rFonts w:ascii="B Lotus" w:hAnsi="B Lotus" w:cs="Nazanin"/>
          <w:b/>
          <w:bCs/>
          <w:sz w:val="28"/>
          <w:szCs w:val="28"/>
          <w:rtl/>
          <w:lang w:bidi="fa-IR"/>
        </w:rPr>
      </w:pPr>
      <w:r>
        <w:rPr>
          <w:rFonts w:ascii="B Lotus" w:hAnsi="B Lotus" w:cs="Nazanin" w:hint="cs"/>
          <w:b/>
          <w:bCs/>
          <w:sz w:val="28"/>
          <w:szCs w:val="28"/>
          <w:rtl/>
          <w:lang w:bidi="fa-IR"/>
        </w:rPr>
        <w:t>مواد ضد انعقاد</w:t>
      </w:r>
    </w:p>
    <w:p>
      <w:pPr>
        <w:spacing w:line="312" w:lineRule="auto"/>
        <w:rPr>
          <w:rFonts w:cs="Nazanin"/>
          <w:b/>
          <w:bCs/>
          <w:sz w:val="28"/>
          <w:szCs w:val="28"/>
          <w:rtl/>
          <w:lang w:bidi="fa-IR"/>
        </w:rPr>
      </w:pPr>
      <w:r>
        <w:rPr>
          <w:rFonts w:cs="Nazanin" w:hint="cs"/>
          <w:b/>
          <w:bCs/>
          <w:sz w:val="28"/>
          <w:szCs w:val="28"/>
          <w:rtl/>
          <w:lang w:bidi="fa-IR"/>
        </w:rPr>
        <w:t>تعيين مقدار قند خون يا ادرار به روش ارتوتولوئيدين</w:t>
      </w:r>
    </w:p>
    <w:p>
      <w:pPr>
        <w:spacing w:line="312" w:lineRule="auto"/>
        <w:jc w:val="lowKashida"/>
        <w:rPr>
          <w:rFonts w:cs="Nazanin"/>
          <w:b/>
          <w:bCs/>
          <w:sz w:val="28"/>
          <w:szCs w:val="28"/>
          <w:rtl/>
          <w:lang w:bidi="fa-IR"/>
        </w:rPr>
      </w:pPr>
      <w:r>
        <w:rPr>
          <w:rFonts w:cs="Nazanin" w:hint="cs"/>
          <w:b/>
          <w:bCs/>
          <w:sz w:val="28"/>
          <w:szCs w:val="28"/>
          <w:rtl/>
          <w:lang w:bidi="fa-IR"/>
        </w:rPr>
        <w:t xml:space="preserve">تست تحمل گلوكز </w:t>
      </w:r>
      <w:r>
        <w:rPr>
          <w:rFonts w:cs="Nazanin"/>
          <w:b/>
          <w:bCs/>
          <w:sz w:val="28"/>
          <w:szCs w:val="28"/>
          <w:lang w:bidi="fa-IR"/>
        </w:rPr>
        <w:t>(Glucose – Tolerance Test)</w:t>
      </w:r>
      <w:r>
        <w:rPr>
          <w:rFonts w:cs="Nazanin" w:hint="cs"/>
          <w:b/>
          <w:bCs/>
          <w:sz w:val="28"/>
          <w:szCs w:val="28"/>
          <w:rtl/>
          <w:lang w:bidi="fa-IR"/>
        </w:rPr>
        <w:t xml:space="preserve"> يا </w:t>
      </w:r>
      <w:r>
        <w:rPr>
          <w:rFonts w:cs="Nazanin"/>
          <w:b/>
          <w:bCs/>
          <w:sz w:val="28"/>
          <w:szCs w:val="28"/>
          <w:lang w:bidi="fa-IR"/>
        </w:rPr>
        <w:t>G.T.T</w:t>
      </w:r>
    </w:p>
    <w:p>
      <w:pPr>
        <w:spacing w:line="312" w:lineRule="auto"/>
        <w:jc w:val="lowKashida"/>
        <w:rPr>
          <w:rFonts w:cs="Nazanin"/>
          <w:b/>
          <w:bCs/>
          <w:sz w:val="28"/>
          <w:szCs w:val="28"/>
          <w:rtl/>
          <w:lang w:bidi="fa-IR"/>
        </w:rPr>
      </w:pPr>
      <w:r>
        <w:rPr>
          <w:rFonts w:cs="Nazanin" w:hint="cs"/>
          <w:b/>
          <w:bCs/>
          <w:sz w:val="28"/>
          <w:szCs w:val="28"/>
          <w:rtl/>
          <w:lang w:bidi="fa-IR"/>
        </w:rPr>
        <w:t>تفسير آزمايش تحمل گلوكز</w:t>
      </w:r>
    </w:p>
    <w:p>
      <w:pPr>
        <w:spacing w:line="312" w:lineRule="auto"/>
        <w:rPr>
          <w:rFonts w:cs="Nazanin"/>
          <w:b/>
          <w:bCs/>
          <w:sz w:val="28"/>
          <w:szCs w:val="28"/>
          <w:rtl/>
          <w:lang w:bidi="fa-IR"/>
        </w:rPr>
      </w:pPr>
      <w:r>
        <w:rPr>
          <w:rFonts w:cs="Nazanin" w:hint="cs"/>
          <w:b/>
          <w:bCs/>
          <w:sz w:val="28"/>
          <w:szCs w:val="28"/>
          <w:rtl/>
          <w:lang w:bidi="fa-IR"/>
        </w:rPr>
        <w:t>اوره: خون و اوره ادرار و تعیین مقدار بازیابی آن</w:t>
      </w:r>
    </w:p>
    <w:p>
      <w:pPr>
        <w:autoSpaceDE w:val="0"/>
        <w:autoSpaceDN w:val="0"/>
        <w:bidi w:val="0"/>
        <w:adjustRightInd w:val="0"/>
        <w:jc w:val="center"/>
        <w:rPr>
          <w:rFonts w:cs="Nazanin"/>
          <w:b/>
          <w:bCs/>
          <w:sz w:val="28"/>
          <w:szCs w:val="28"/>
          <w:rtl/>
          <w:lang w:bidi="fa-IR"/>
        </w:rPr>
      </w:pPr>
    </w:p>
    <w:p>
      <w:pPr>
        <w:autoSpaceDE w:val="0"/>
        <w:autoSpaceDN w:val="0"/>
        <w:bidi w:val="0"/>
        <w:adjustRightInd w:val="0"/>
        <w:jc w:val="right"/>
        <w:rPr>
          <w:color w:val="131413"/>
          <w:sz w:val="28"/>
          <w:szCs w:val="28"/>
          <w:rtl/>
        </w:rPr>
      </w:pPr>
      <w:r>
        <w:rPr>
          <w:rFonts w:cs="Nazanin" w:hint="cs"/>
          <w:b/>
          <w:bCs/>
          <w:sz w:val="28"/>
          <w:szCs w:val="28"/>
          <w:rtl/>
          <w:lang w:bidi="fa-IR"/>
        </w:rPr>
        <w:t>تركيبات ازت‌دار غير|</w:t>
      </w:r>
      <w:r>
        <w:rPr>
          <w:rFonts w:cs="Nazanin"/>
          <w:b/>
          <w:bCs/>
          <w:sz w:val="28"/>
          <w:szCs w:val="28"/>
          <w:rtl/>
          <w:lang w:bidi="fa-IR"/>
        </w:rPr>
        <w:t>ﭙ</w:t>
      </w:r>
      <w:r>
        <w:rPr>
          <w:rFonts w:cs="Nazanin" w:hint="cs"/>
          <w:b/>
          <w:bCs/>
          <w:sz w:val="28"/>
          <w:szCs w:val="28"/>
          <w:rtl/>
          <w:lang w:bidi="fa-IR"/>
        </w:rPr>
        <w:t>روتئيني</w:t>
      </w:r>
      <w:r>
        <w:rPr>
          <w:color w:val="131413"/>
          <w:sz w:val="28"/>
          <w:szCs w:val="28"/>
        </w:rPr>
        <w:t xml:space="preserve"> </w:t>
      </w:r>
    </w:p>
    <w:p>
      <w:pPr>
        <w:autoSpaceDE w:val="0"/>
        <w:autoSpaceDN w:val="0"/>
        <w:adjustRightInd w:val="0"/>
        <w:rPr>
          <w:rFonts w:ascii="AdvTT3713a231" w:hAnsi="AdvTT3713a231" w:cs="AdvTT3713a231"/>
          <w:color w:val="131413"/>
          <w:sz w:val="28"/>
          <w:szCs w:val="28"/>
        </w:rPr>
      </w:pPr>
    </w:p>
    <w:p>
      <w:pPr>
        <w:spacing w:line="312" w:lineRule="auto"/>
        <w:jc w:val="lowKashida"/>
        <w:rPr>
          <w:rFonts w:cs="Nazanin"/>
          <w:b/>
          <w:bCs/>
          <w:sz w:val="28"/>
          <w:szCs w:val="28"/>
          <w:rtl/>
          <w:lang w:bidi="fa-IR"/>
        </w:rPr>
      </w:pPr>
      <w:r>
        <w:rPr>
          <w:rFonts w:hint="cs"/>
          <w:b/>
          <w:bCs/>
          <w:sz w:val="28"/>
          <w:szCs w:val="28"/>
          <w:rtl/>
          <w:lang w:bidi="fa-IR"/>
        </w:rPr>
        <w:t>معرفی یک اندازه گیری پروت</w:t>
      </w:r>
      <w:r>
        <w:rPr>
          <w:rFonts w:cs="Nazanin" w:hint="cs"/>
          <w:b/>
          <w:bCs/>
          <w:sz w:val="28"/>
          <w:szCs w:val="28"/>
          <w:rtl/>
          <w:lang w:bidi="fa-IR"/>
        </w:rPr>
        <w:t>یین در حد نانوگرام:</w:t>
      </w:r>
    </w:p>
    <w:p>
      <w:pPr>
        <w:autoSpaceDE w:val="0"/>
        <w:autoSpaceDN w:val="0"/>
        <w:bidi w:val="0"/>
        <w:adjustRightInd w:val="0"/>
        <w:jc w:val="center"/>
        <w:rPr>
          <w:color w:val="131413"/>
          <w:sz w:val="28"/>
          <w:szCs w:val="28"/>
        </w:rPr>
      </w:pPr>
      <w:r>
        <w:rPr>
          <w:color w:val="131413"/>
          <w:sz w:val="28"/>
          <w:szCs w:val="28"/>
        </w:rPr>
        <w:t xml:space="preserve">Sensitivity: Binding of more CBB dye molecules per protein molecule </w:t>
      </w:r>
    </w:p>
    <w:p>
      <w:pPr>
        <w:spacing w:line="312" w:lineRule="auto"/>
        <w:jc w:val="lowKashida"/>
        <w:rPr>
          <w:rFonts w:cs="Nazanin"/>
          <w:b/>
          <w:bCs/>
          <w:sz w:val="28"/>
          <w:szCs w:val="28"/>
          <w:rtl/>
          <w:lang w:bidi="fa-IR"/>
        </w:rPr>
      </w:pPr>
    </w:p>
    <w:p>
      <w:pPr>
        <w:autoSpaceDE w:val="0"/>
        <w:autoSpaceDN w:val="0"/>
        <w:bidi w:val="0"/>
        <w:adjustRightInd w:val="0"/>
        <w:jc w:val="center"/>
        <w:rPr>
          <w:rFonts w:ascii="AdvTT3713a231" w:hAnsi="AdvTT3713a231" w:cs="AdvTT3713a231"/>
          <w:color w:val="131413"/>
          <w:sz w:val="28"/>
          <w:szCs w:val="28"/>
        </w:rPr>
      </w:pPr>
      <w:r>
        <w:rPr>
          <w:color w:val="131413"/>
          <w:sz w:val="28"/>
          <w:szCs w:val="28"/>
        </w:rPr>
        <w:t xml:space="preserve">Hydrophobic assay for proteins (at the </w:t>
      </w:r>
      <w:r>
        <w:rPr>
          <w:rFonts w:ascii="AdvTT3713a231" w:hAnsi="AdvTT3713a231" w:cs="AdvTT3713a231"/>
          <w:i/>
          <w:iCs/>
          <w:color w:val="131413"/>
          <w:sz w:val="28"/>
          <w:szCs w:val="28"/>
          <w:u w:val="single"/>
        </w:rPr>
        <w:t>Nanogram Level</w:t>
      </w:r>
      <w:r>
        <w:rPr>
          <w:rFonts w:ascii="AdvTT3713a231" w:hAnsi="AdvTT3713a231" w:cs="AdvTT3713a231"/>
          <w:color w:val="131413"/>
          <w:sz w:val="28"/>
          <w:szCs w:val="28"/>
        </w:rPr>
        <w:t xml:space="preserve">), </w:t>
      </w:r>
      <w:r>
        <w:rPr>
          <w:color w:val="131413"/>
          <w:sz w:val="28"/>
          <w:szCs w:val="28"/>
        </w:rPr>
        <w:t xml:space="preserve">the maximum possible </w:t>
      </w:r>
    </w:p>
    <w:p>
      <w:pPr>
        <w:autoSpaceDE w:val="0"/>
        <w:autoSpaceDN w:val="0"/>
        <w:bidi w:val="0"/>
        <w:adjustRightInd w:val="0"/>
        <w:rPr>
          <w:rFonts w:ascii="AdvTT3713a231" w:hAnsi="AdvTT3713a231" w:cs="AdvTT3713a231"/>
          <w:color w:val="131413"/>
          <w:sz w:val="28"/>
          <w:szCs w:val="28"/>
        </w:rPr>
      </w:pPr>
      <w:r>
        <w:rPr>
          <w:rFonts w:ascii="AdvTT3713a231" w:hAnsi="AdvTT3713a231" w:cs="AdvTT3713a231"/>
          <w:color w:val="131413"/>
          <w:sz w:val="28"/>
          <w:szCs w:val="28"/>
        </w:rPr>
        <w:t xml:space="preserve">The mechanism of Coomassie brilliant blue G-250 (CBB) binding to proteins in order to develop a protein assay with the maximum possible sensitivity: </w:t>
      </w:r>
    </w:p>
    <w:p>
      <w:pPr>
        <w:spacing w:line="312" w:lineRule="auto"/>
        <w:jc w:val="lowKashida"/>
        <w:rPr>
          <w:rFonts w:cs="Nazanin"/>
          <w:sz w:val="28"/>
          <w:szCs w:val="28"/>
          <w:rtl/>
          <w:lang w:bidi="fa-IR"/>
        </w:rPr>
      </w:pPr>
    </w:p>
    <w:p>
      <w:pPr>
        <w:spacing w:line="312" w:lineRule="auto"/>
        <w:jc w:val="lowKashida"/>
        <w:rPr>
          <w:rFonts w:cs="Nazanin"/>
          <w:b/>
          <w:bCs/>
          <w:sz w:val="28"/>
          <w:szCs w:val="28"/>
          <w:lang w:bidi="fa-IR"/>
        </w:rPr>
      </w:pPr>
      <w:r>
        <w:rPr>
          <w:rFonts w:cs="Nazanin" w:hint="cs"/>
          <w:b/>
          <w:bCs/>
          <w:sz w:val="28"/>
          <w:szCs w:val="28"/>
          <w:rtl/>
          <w:lang w:bidi="fa-IR"/>
        </w:rPr>
        <w:t xml:space="preserve">اندازه گیری پروتئین پلاسمابا روش </w:t>
      </w:r>
      <w:r>
        <w:rPr>
          <w:rFonts w:cs="Nazanin"/>
          <w:b/>
          <w:bCs/>
          <w:sz w:val="28"/>
          <w:szCs w:val="28"/>
          <w:lang w:bidi="fa-IR"/>
        </w:rPr>
        <w:t>Gold standard CBB</w:t>
      </w:r>
    </w:p>
    <w:p>
      <w:pPr>
        <w:rPr>
          <w:rFonts w:cs="Nazanin"/>
          <w:b/>
          <w:bCs/>
          <w:sz w:val="28"/>
          <w:szCs w:val="28"/>
          <w:lang w:bidi="fa-IR"/>
        </w:rPr>
      </w:pPr>
    </w:p>
    <w:p>
      <w:pPr>
        <w:spacing w:line="312" w:lineRule="auto"/>
        <w:rPr>
          <w:rFonts w:cs="Nazanin"/>
          <w:b/>
          <w:bCs/>
          <w:sz w:val="28"/>
          <w:szCs w:val="28"/>
          <w:rtl/>
          <w:lang w:bidi="fa-IR"/>
        </w:rPr>
      </w:pPr>
      <w:r>
        <w:rPr>
          <w:rFonts w:cs="Nazanin" w:hint="cs"/>
          <w:b/>
          <w:bCs/>
          <w:sz w:val="28"/>
          <w:szCs w:val="28"/>
          <w:rtl/>
          <w:lang w:bidi="fa-IR"/>
        </w:rPr>
        <w:t>اسيد اوريك</w:t>
      </w:r>
    </w:p>
    <w:p>
      <w:pPr>
        <w:spacing w:line="312" w:lineRule="auto"/>
        <w:rPr>
          <w:rFonts w:cs="Nazanin"/>
          <w:b/>
          <w:bCs/>
          <w:sz w:val="28"/>
          <w:szCs w:val="28"/>
          <w:rtl/>
          <w:lang w:bidi="fa-IR"/>
        </w:rPr>
      </w:pPr>
      <w:r>
        <w:rPr>
          <w:rFonts w:cs="Nazanin" w:hint="cs"/>
          <w:b/>
          <w:bCs/>
          <w:sz w:val="28"/>
          <w:szCs w:val="28"/>
          <w:rtl/>
          <w:lang w:bidi="fa-IR"/>
        </w:rPr>
        <w:t>كراتين و كراتي‌نين</w:t>
      </w:r>
    </w:p>
    <w:p>
      <w:pPr>
        <w:spacing w:line="312" w:lineRule="auto"/>
        <w:rPr>
          <w:rFonts w:cs="Nazanin"/>
          <w:b/>
          <w:bCs/>
          <w:sz w:val="28"/>
          <w:szCs w:val="28"/>
          <w:rtl/>
          <w:lang w:bidi="fa-IR"/>
        </w:rPr>
      </w:pPr>
      <w:r>
        <w:rPr>
          <w:rFonts w:cs="Nazanin" w:hint="cs"/>
          <w:b/>
          <w:bCs/>
          <w:sz w:val="28"/>
          <w:szCs w:val="28"/>
          <w:rtl/>
          <w:lang w:bidi="fa-IR"/>
        </w:rPr>
        <w:t>كلسترول</w:t>
      </w:r>
    </w:p>
    <w:p>
      <w:pPr>
        <w:spacing w:line="312" w:lineRule="auto"/>
        <w:jc w:val="lowKashida"/>
        <w:rPr>
          <w:rFonts w:cs="Nazanin"/>
          <w:b/>
          <w:bCs/>
          <w:sz w:val="28"/>
          <w:szCs w:val="28"/>
          <w:rtl/>
          <w:lang w:bidi="fa-IR"/>
        </w:rPr>
      </w:pPr>
      <w:r>
        <w:rPr>
          <w:rFonts w:cs="Nazanin" w:hint="cs"/>
          <w:b/>
          <w:bCs/>
          <w:sz w:val="28"/>
          <w:szCs w:val="28"/>
          <w:rtl/>
          <w:lang w:bidi="fa-IR"/>
        </w:rPr>
        <w:t>تعيين مقدار كلسترول بروش آنزیماتیک</w:t>
      </w:r>
    </w:p>
    <w:p>
      <w:pPr>
        <w:spacing w:line="312" w:lineRule="auto"/>
        <w:jc w:val="lowKashida"/>
        <w:rPr>
          <w:rFonts w:cs="Nazanin"/>
          <w:b/>
          <w:bCs/>
          <w:sz w:val="28"/>
          <w:szCs w:val="28"/>
          <w:rtl/>
          <w:lang w:bidi="fa-IR"/>
        </w:rPr>
      </w:pPr>
      <w:r>
        <w:rPr>
          <w:rFonts w:cs="Nazanin" w:hint="cs"/>
          <w:b/>
          <w:bCs/>
          <w:sz w:val="28"/>
          <w:szCs w:val="28"/>
          <w:rtl/>
          <w:lang w:bidi="fa-IR"/>
        </w:rPr>
        <w:t>تري گليسيريد بروش آنزیماتیک</w:t>
      </w:r>
    </w:p>
    <w:p>
      <w:pPr>
        <w:spacing w:line="312" w:lineRule="auto"/>
        <w:jc w:val="lowKashida"/>
        <w:rPr>
          <w:rFonts w:cs="Nazanin"/>
          <w:b/>
          <w:bCs/>
          <w:sz w:val="28"/>
          <w:szCs w:val="28"/>
          <w:rtl/>
          <w:lang w:bidi="fa-IR"/>
        </w:rPr>
      </w:pPr>
    </w:p>
    <w:p>
      <w:pPr>
        <w:spacing w:line="288" w:lineRule="auto"/>
        <w:rPr>
          <w:rFonts w:cs="Nazanin"/>
          <w:b/>
          <w:bCs/>
          <w:sz w:val="28"/>
          <w:szCs w:val="28"/>
          <w:rtl/>
          <w:lang w:bidi="fa-IR"/>
        </w:rPr>
      </w:pPr>
      <w:r>
        <w:rPr>
          <w:rFonts w:cs="Nazanin" w:hint="cs"/>
          <w:b/>
          <w:bCs/>
          <w:sz w:val="28"/>
          <w:szCs w:val="28"/>
          <w:rtl/>
          <w:lang w:bidi="fa-IR"/>
        </w:rPr>
        <w:lastRenderedPageBreak/>
        <w:t xml:space="preserve">اندازه‌گيري </w:t>
      </w:r>
      <w:r>
        <w:rPr>
          <w:rFonts w:cs="Nazanin" w:hint="cs"/>
          <w:sz w:val="28"/>
          <w:szCs w:val="28"/>
          <w:rtl/>
          <w:lang w:bidi="fa-IR"/>
        </w:rPr>
        <w:t>تري‌گليسريدها</w:t>
      </w:r>
      <w:r>
        <w:rPr>
          <w:rFonts w:cs="Nazanin"/>
          <w:b/>
          <w:bCs/>
          <w:sz w:val="28"/>
          <w:szCs w:val="28"/>
          <w:lang w:bidi="fa-IR"/>
        </w:rPr>
        <w:t>TG</w:t>
      </w:r>
    </w:p>
    <w:p>
      <w:pPr>
        <w:jc w:val="lowKashida"/>
        <w:rPr>
          <w:b/>
          <w:bCs/>
          <w:color w:val="FF0000"/>
          <w:rtl/>
          <w:lang w:bidi="fa-IR"/>
        </w:rPr>
      </w:pPr>
      <w:r>
        <w:rPr>
          <w:rFonts w:cs="Nazanin" w:hint="cs"/>
          <w:b/>
          <w:bCs/>
          <w:sz w:val="28"/>
          <w:szCs w:val="28"/>
          <w:rtl/>
          <w:lang w:bidi="fa-IR"/>
        </w:rPr>
        <w:t>- اندازه‌گيري كلسيم سرم</w:t>
      </w:r>
    </w:p>
    <w:p>
      <w:pPr>
        <w:jc w:val="lowKashida"/>
        <w:rPr>
          <w:b/>
          <w:bCs/>
          <w:rtl/>
          <w:lang w:bidi="fa-IR"/>
        </w:rPr>
      </w:pPr>
      <w:r>
        <w:rPr>
          <w:rFonts w:hint="cs"/>
          <w:b/>
          <w:bCs/>
          <w:rtl/>
          <w:lang w:bidi="fa-IR"/>
        </w:rPr>
        <w:t>اندازه گیری میزان فعالیت آنزیم لاکتات دزهیدروژناز سرمی.</w:t>
      </w:r>
    </w:p>
    <w:p>
      <w:pPr>
        <w:jc w:val="lowKashida"/>
        <w:rPr>
          <w:b/>
          <w:bCs/>
          <w:rtl/>
          <w:lang w:bidi="fa-IR"/>
        </w:rPr>
      </w:pPr>
    </w:p>
    <w:p>
      <w:pPr>
        <w:rPr>
          <w:rFonts w:cs="B Nazanin"/>
          <w:sz w:val="28"/>
          <w:szCs w:val="28"/>
          <w:rtl/>
        </w:rPr>
      </w:pPr>
      <w:r>
        <w:rPr>
          <w:rFonts w:cs="B Nazanin" w:hint="cs"/>
          <w:sz w:val="28"/>
          <w:szCs w:val="28"/>
          <w:rtl/>
        </w:rPr>
        <w:t xml:space="preserve">نحوه تشکیل دروس عملی و محتوی آموزشی آنها:   </w:t>
      </w:r>
    </w:p>
    <w:p>
      <w:pPr>
        <w:rPr>
          <w:rFonts w:cs="B Nazanin"/>
          <w:sz w:val="28"/>
          <w:szCs w:val="28"/>
          <w:rtl/>
        </w:rPr>
      </w:pPr>
      <w:r>
        <w:rPr>
          <w:rFonts w:cs="B Nazanin" w:hint="cs"/>
          <w:sz w:val="28"/>
          <w:szCs w:val="28"/>
          <w:rtl/>
        </w:rPr>
        <w:t>درس بیوشیمی متابولیسم عملی مطابق سر فصل مربوطه در محل آزمایشگاه بیوشیمی آن در دانشکده تغذیه با رعایت کامل اصول آزمایشگاه ارایه می شود و آن جز دروس بسیار حائز اهمیت بوده و دانشجوی مقطع کارشناسی پس از اتمام دوره به یک کارشناس قابل اتکا مبدل می گردد که در طول و نیز پایان دوره  در دو مرحله کار عملی و امتحان کتبی شرکت نموده و پس از اخذ حد نصاب لازم موفق به قبولی در این درس می گردد.</w:t>
      </w:r>
    </w:p>
    <w:p>
      <w:pPr>
        <w:rPr>
          <w:rFonts w:cs="B Nazanin"/>
          <w:sz w:val="28"/>
          <w:szCs w:val="28"/>
          <w:rtl/>
        </w:rPr>
      </w:pPr>
      <w:r>
        <w:rPr>
          <w:rFonts w:cs="B Nazanin" w:hint="cs"/>
          <w:sz w:val="28"/>
          <w:szCs w:val="28"/>
          <w:rtl/>
        </w:rPr>
        <w:t>مرحله اول، کل کلاس در زیر گروه های دو نفره دارای کمد اختصاصی گردیده و به کار منظم مشغول می گردند. آزمایش های بیوشیمی تشخیص طبی که بعد از اخذ نمره ای که صدرصد نمره هرجلسه بعد از اخذ جوابی از آزمایش مجهول در محدوده  5%</w:t>
      </w:r>
      <w:r>
        <w:rPr>
          <w:rFonts w:hint="cs"/>
          <w:sz w:val="28"/>
          <w:szCs w:val="28"/>
          <w:rtl/>
        </w:rPr>
        <w:t>±</w:t>
      </w:r>
      <w:r>
        <w:rPr>
          <w:rFonts w:cs="B Nazanin" w:hint="cs"/>
          <w:sz w:val="28"/>
          <w:szCs w:val="28"/>
          <w:rtl/>
        </w:rPr>
        <w:t xml:space="preserve"> محلول  </w:t>
      </w:r>
      <w:r>
        <w:rPr>
          <w:rFonts w:cs="B Nazanin"/>
          <w:sz w:val="28"/>
          <w:szCs w:val="28"/>
        </w:rPr>
        <w:t>Randox</w:t>
      </w:r>
      <w:r>
        <w:rPr>
          <w:rFonts w:cs="B Nazanin" w:hint="cs"/>
          <w:sz w:val="28"/>
          <w:szCs w:val="28"/>
          <w:rtl/>
        </w:rPr>
        <w:t>می باشد را نیمی از نمره نهایی وی را تشکیل خواهد داد.</w:t>
      </w:r>
    </w:p>
    <w:p>
      <w:pPr>
        <w:rPr>
          <w:rFonts w:cs="B Nazanin"/>
          <w:sz w:val="28"/>
          <w:szCs w:val="28"/>
          <w:rtl/>
        </w:rPr>
      </w:pPr>
      <w:r>
        <w:rPr>
          <w:rFonts w:cs="B Nazanin" w:hint="cs"/>
          <w:sz w:val="28"/>
          <w:szCs w:val="28"/>
          <w:rtl/>
        </w:rPr>
        <w:t xml:space="preserve">مرحله دوم که مشتمل بر شرکت در امتحان کتبی به صورت ارزیابی چهار گزینه ایی خواهد بود، ده نمره دیگر را تشکیل خواهد داد.  این کل با در نظر گرفتن آموزش ارایه کار عملی استاندارد به کارایی آموزش گیرنده خواهد انجامید. بنا به نحوه گزارش دهی دانشجویان در ابتدا چنین به نظر می رسد که دانشجو تا به حال از آموزش در شرایط آزمایشگاهی بی بهره بوده است اما پس از اتمام کار وی از آزمایشگاه بیوشیمی متابولیسم از دانش عملی و نظری او به همراه اصول صحیح گزارش دهی از او می توان اطمینان داشت و این مهم با ارایه گزارش های آنها به دانشجویان سال های بعد، نمود خویش را نمایان می سازد و دانشجویان لمس می کنند که چگونه تمام اصول نظری آموخته شده آنها در کلاس های نظری از لابه لای لوله های آزمایش به کتاب های آنها راه یافته است. این دانشجویان در کل آزمایشگاه های بیوشیمی با اطمینان برای کارهای پژوهشی می توانند </w:t>
      </w:r>
      <w:r>
        <w:rPr>
          <w:rFonts w:cs="B Nazanin" w:hint="cs"/>
          <w:sz w:val="28"/>
          <w:szCs w:val="28"/>
          <w:rtl/>
          <w:lang w:bidi="fa-IR"/>
        </w:rPr>
        <w:t xml:space="preserve">با شایستگی </w:t>
      </w:r>
      <w:r>
        <w:rPr>
          <w:rFonts w:cs="B Nazanin" w:hint="cs"/>
          <w:sz w:val="28"/>
          <w:szCs w:val="28"/>
          <w:rtl/>
        </w:rPr>
        <w:t>جای گیرند.</w:t>
      </w:r>
    </w:p>
    <w:p>
      <w:pPr>
        <w:jc w:val="lowKashida"/>
        <w:rPr>
          <w:rFonts w:cs="B Nazanin"/>
          <w:b/>
          <w:bCs/>
          <w:sz w:val="28"/>
          <w:szCs w:val="28"/>
          <w:rtl/>
          <w:lang w:bidi="fa-IR"/>
        </w:rPr>
      </w:pPr>
    </w:p>
    <w:sect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Nazanin">
    <w:altName w:val="Courier New"/>
    <w:panose1 w:val="00000400000000000000"/>
    <w:charset w:val="B2"/>
    <w:family w:val="auto"/>
    <w:pitch w:val="variable"/>
    <w:sig w:usb0="00002001" w:usb1="00000000" w:usb2="00000000" w:usb3="00000000" w:csb0="00000040" w:csb1="00000000"/>
  </w:font>
  <w:font w:name="AdvTT3713a231">
    <w:panose1 w:val="00000000000000000000"/>
    <w:charset w:val="00"/>
    <w:family w:val="roman"/>
    <w:notTrueType/>
    <w:pitch w:val="default"/>
    <w:sig w:usb0="00000003" w:usb1="00000000" w:usb2="00000000" w:usb3="00000000" w:csb0="00000001" w:csb1="00000000"/>
  </w:font>
  <w:font w:name="B Nazanin">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1706D9"/>
    <w:multiLevelType w:val="hybridMultilevel"/>
    <w:tmpl w:val="EFA4307A"/>
    <w:lvl w:ilvl="0" w:tplc="E57C57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F750663"/>
    <w:multiLevelType w:val="hybridMultilevel"/>
    <w:tmpl w:val="67408DDC"/>
    <w:lvl w:ilvl="0" w:tplc="A52405F2">
      <w:start w:val="15"/>
      <w:numFmt w:val="bullet"/>
      <w:lvlText w:val="-"/>
      <w:lvlJc w:val="left"/>
      <w:pPr>
        <w:tabs>
          <w:tab w:val="num" w:pos="720"/>
        </w:tabs>
        <w:ind w:left="720" w:hanging="360"/>
      </w:pPr>
      <w:rPr>
        <w:rFonts w:ascii="Times New Roman" w:eastAsia="Times New Roman" w:hAnsi="Times New Roman" w:cs="B Lotu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9C759E-22F9-4620-A995-D695E71D2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pPr>
      <w:tabs>
        <w:tab w:val="center" w:pos="4153"/>
        <w:tab w:val="right" w:pos="8306"/>
      </w:tabs>
    </w:pPr>
  </w:style>
  <w:style w:type="character" w:customStyle="1" w:styleId="FooterChar">
    <w:name w:val="Footer Char"/>
    <w:basedOn w:val="DefaultParagraphFont"/>
    <w:link w:val="Footer"/>
    <w:rPr>
      <w:rFonts w:ascii="Times New Roman" w:eastAsia="Times New Roman" w:hAnsi="Times New Roman" w:cs="Times New Roman"/>
      <w:sz w:val="24"/>
      <w:szCs w:val="24"/>
    </w:rPr>
  </w:style>
  <w:style w:type="character" w:styleId="PageNumber">
    <w:name w:val="page number"/>
    <w:basedOn w:val="DefaultParagraphFont"/>
  </w:style>
  <w:style w:type="paragraph" w:styleId="FootnoteText">
    <w:name w:val="footnote text"/>
    <w:basedOn w:val="Normal"/>
    <w:link w:val="FootnoteTextChar"/>
    <w:semiHidden/>
    <w:rPr>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character" w:styleId="FootnoteReference">
    <w:name w:val="footnote reference"/>
    <w:basedOn w:val="DefaultParagraphFont"/>
    <w:semiHidden/>
    <w:rPr>
      <w:vertAlign w:val="superscript"/>
    </w:rPr>
  </w:style>
  <w:style w:type="paragraph" w:styleId="Header">
    <w:name w:val="header"/>
    <w:basedOn w:val="Normal"/>
    <w:link w:val="HeaderChar"/>
    <w:pPr>
      <w:tabs>
        <w:tab w:val="center" w:pos="4153"/>
        <w:tab w:val="right" w:pos="8306"/>
      </w:tabs>
    </w:pPr>
  </w:style>
  <w:style w:type="character" w:customStyle="1" w:styleId="HeaderChar">
    <w:name w:val="Header Char"/>
    <w:basedOn w:val="DefaultParagraphFont"/>
    <w:link w:val="Heade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14D56-A762-4092-9AA8-52B2B4757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aref</dc:creator>
  <cp:keywords/>
  <dc:description/>
  <cp:lastModifiedBy>admin</cp:lastModifiedBy>
  <cp:revision>2</cp:revision>
  <cp:lastPrinted>2017-02-14T06:37:00Z</cp:lastPrinted>
  <dcterms:created xsi:type="dcterms:W3CDTF">2018-06-03T06:02:00Z</dcterms:created>
  <dcterms:modified xsi:type="dcterms:W3CDTF">2018-06-03T06:02:00Z</dcterms:modified>
</cp:coreProperties>
</file>